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F70B86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F70B86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F70B86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F70B86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F70B86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C77E95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0427B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50427B">
              <w:rPr>
                <w:rFonts w:ascii="Dax-Regular" w:hAnsi="Dax-Regular"/>
                <w:sz w:val="20"/>
              </w:rPr>
              <w:t>Psch</w:t>
            </w:r>
            <w:proofErr w:type="spellEnd"/>
            <w:r w:rsidRPr="0050427B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0427B" w:rsidRPr="0050427B" w:rsidRDefault="0050427B" w:rsidP="0050427B">
            <w:pPr>
              <w:rPr>
                <w:rFonts w:ascii="Dax-Regular" w:hAnsi="Dax-Regular"/>
                <w:b/>
                <w:bCs/>
                <w:sz w:val="20"/>
              </w:rPr>
            </w:pPr>
            <w:r w:rsidRPr="0050427B">
              <w:rPr>
                <w:rFonts w:ascii="Dax-Regular" w:hAnsi="Dax-Regular"/>
                <w:b/>
                <w:bCs/>
                <w:sz w:val="20"/>
              </w:rPr>
              <w:t>Hochwirksamer Feder-</w:t>
            </w:r>
            <w:proofErr w:type="spellStart"/>
            <w:r w:rsidRPr="0050427B">
              <w:rPr>
                <w:rFonts w:ascii="Dax-Regular" w:hAnsi="Dax-Regular"/>
                <w:b/>
                <w:bCs/>
                <w:sz w:val="20"/>
              </w:rPr>
              <w:t>Abhänger</w:t>
            </w:r>
            <w:proofErr w:type="spellEnd"/>
            <w:r w:rsidRPr="0050427B">
              <w:rPr>
                <w:rFonts w:ascii="Dax-Regular" w:hAnsi="Dax-Regular"/>
                <w:b/>
                <w:bCs/>
                <w:sz w:val="20"/>
              </w:rPr>
              <w:t xml:space="preserve"> für Decken / Akustikdecken</w:t>
            </w:r>
          </w:p>
          <w:p w:rsidR="0050427B" w:rsidRPr="0050427B" w:rsidRDefault="0050427B" w:rsidP="0050427B">
            <w:pPr>
              <w:rPr>
                <w:rFonts w:ascii="Dax-Regular" w:hAnsi="Dax-Regular"/>
                <w:bCs/>
                <w:sz w:val="20"/>
              </w:rPr>
            </w:pP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Abgehängtes Gewicht je Abhänge-Punkt oder je m²:  …. N / kg</w:t>
            </w: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Fabrikat der Planung:</w:t>
            </w: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G+H Schallschutz</w:t>
            </w: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Decken- und Rohrabhänger Typ D1 – D7</w:t>
            </w: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 xml:space="preserve">Ausführung: 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Vertikale Eigenfrequenz: &lt; 4,5 Hz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Zylindrische Stahlschrauben-Druckfedern dauerschwingfest, überlastsicher und blockfest  nach DIN EN 13906 (mit Herstellernachweis)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Gehäuse verzinkt, oder grundiert und lackiert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>Verhältnis horizontaler zu vertikaler Federsteife: 0,73 bis 0,98 (mit Herstellernachweis)</w:t>
            </w:r>
          </w:p>
          <w:p w:rsidR="0050427B" w:rsidRPr="0050427B" w:rsidRDefault="0050427B" w:rsidP="0050427B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0427B">
              <w:rPr>
                <w:rFonts w:ascii="Dax-Regular" w:hAnsi="Dax-Regular"/>
                <w:sz w:val="20"/>
              </w:rPr>
              <w:t xml:space="preserve">Integrierte Körperschall-Dämmeinlage, 5 mm dick, aus speziellem Kautschuk zur </w:t>
            </w:r>
            <w:proofErr w:type="spellStart"/>
            <w:r w:rsidRPr="0050427B">
              <w:rPr>
                <w:rFonts w:ascii="Dax-Regular" w:hAnsi="Dax-Regular"/>
                <w:sz w:val="20"/>
              </w:rPr>
              <w:t>Bedämpfung</w:t>
            </w:r>
            <w:proofErr w:type="spellEnd"/>
            <w:r w:rsidRPr="0050427B">
              <w:rPr>
                <w:rFonts w:ascii="Dax-Regular" w:hAnsi="Dax-Regular"/>
                <w:sz w:val="20"/>
              </w:rPr>
              <w:t xml:space="preserve"> der Eigenfrequenz der Feder</w:t>
            </w:r>
          </w:p>
          <w:p w:rsidR="0050427B" w:rsidRPr="0050427B" w:rsidRDefault="0050427B" w:rsidP="0050427B">
            <w:pPr>
              <w:rPr>
                <w:rFonts w:ascii="Dax-Regular" w:hAnsi="Dax-Regular"/>
                <w:sz w:val="20"/>
              </w:rPr>
            </w:pPr>
          </w:p>
          <w:p w:rsidR="001F1315" w:rsidRDefault="001F1315" w:rsidP="001F1315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1F1315" w:rsidRDefault="001F1315" w:rsidP="001F1315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1F1315" w:rsidRDefault="001F1315" w:rsidP="001F1315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1F1315" w:rsidRDefault="001F1315" w:rsidP="001F1315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</w:t>
            </w:r>
          </w:p>
          <w:p w:rsidR="001F1315" w:rsidRDefault="001F1315" w:rsidP="001F1315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1F1315" w:rsidRDefault="001F1315" w:rsidP="001F1315">
            <w:pPr>
              <w:rPr>
                <w:rFonts w:ascii="Dax-Regular" w:hAnsi="Dax-Regular"/>
                <w:sz w:val="20"/>
              </w:rPr>
            </w:pPr>
          </w:p>
          <w:p w:rsidR="001F1315" w:rsidRDefault="001F1315" w:rsidP="001F1315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Die Dimensionierung der Schwingungsdämpfer ist vor Ausführung mit dem Planer abzustimmen.</w:t>
            </w:r>
          </w:p>
          <w:p w:rsidR="001F1315" w:rsidRDefault="001F1315" w:rsidP="001F1315">
            <w:pPr>
              <w:rPr>
                <w:rFonts w:ascii="Dax-Regular" w:hAnsi="Dax-Regular"/>
                <w:sz w:val="20"/>
              </w:rPr>
            </w:pPr>
          </w:p>
          <w:p w:rsidR="00C77E95" w:rsidRPr="00B676B0" w:rsidRDefault="00C77E95" w:rsidP="00C77E95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C77E95" w:rsidRPr="00B676B0" w:rsidRDefault="00C77E95" w:rsidP="00C77E95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C77E95" w:rsidRPr="009C0A64" w:rsidRDefault="00C77E95" w:rsidP="00C77E95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C77E95" w:rsidRPr="009C0A64" w:rsidRDefault="00C77E95" w:rsidP="00C77E95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C77E95" w:rsidRPr="00C77E95" w:rsidRDefault="00C77E95" w:rsidP="00C77E95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C77E95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C77E95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C77E95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77E9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C77E95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C77E95" w:rsidSect="00567BA0">
      <w:headerReference w:type="default" r:id="rId9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C77E95" w:rsidTr="002D0E2D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C77E95" w:rsidRDefault="00C77E95" w:rsidP="00C77E95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6234A425" wp14:editId="188A0CC4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77E95" w:rsidRDefault="00C77E95" w:rsidP="00C77E95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C77E95" w:rsidRPr="00BB798A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C77E95" w:rsidTr="002D0E2D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Decken- und Rohrabhänger</w:t>
          </w:r>
        </w:p>
        <w:p w:rsidR="00C77E95" w:rsidRPr="00BB798A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C77E95" w:rsidRPr="00BB798A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1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1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C77E95" w:rsidRDefault="00C77E9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0F56DF"/>
    <w:rsid w:val="001650E6"/>
    <w:rsid w:val="00180F8F"/>
    <w:rsid w:val="00190F0A"/>
    <w:rsid w:val="001A555F"/>
    <w:rsid w:val="001B20D1"/>
    <w:rsid w:val="001C0BD1"/>
    <w:rsid w:val="001F1315"/>
    <w:rsid w:val="00237810"/>
    <w:rsid w:val="00240115"/>
    <w:rsid w:val="002F6D4E"/>
    <w:rsid w:val="00337E1A"/>
    <w:rsid w:val="00357677"/>
    <w:rsid w:val="003C6BB8"/>
    <w:rsid w:val="004011D3"/>
    <w:rsid w:val="0042213E"/>
    <w:rsid w:val="004C6F4D"/>
    <w:rsid w:val="00503A8E"/>
    <w:rsid w:val="0050427B"/>
    <w:rsid w:val="00522F20"/>
    <w:rsid w:val="0053642D"/>
    <w:rsid w:val="00567BA0"/>
    <w:rsid w:val="005D24D4"/>
    <w:rsid w:val="005F37D7"/>
    <w:rsid w:val="005F705B"/>
    <w:rsid w:val="00666620"/>
    <w:rsid w:val="00687763"/>
    <w:rsid w:val="00692514"/>
    <w:rsid w:val="0082163B"/>
    <w:rsid w:val="0082474E"/>
    <w:rsid w:val="00876EB5"/>
    <w:rsid w:val="00881512"/>
    <w:rsid w:val="00897D75"/>
    <w:rsid w:val="008B0350"/>
    <w:rsid w:val="00916DEA"/>
    <w:rsid w:val="00980350"/>
    <w:rsid w:val="00A44284"/>
    <w:rsid w:val="00B775E9"/>
    <w:rsid w:val="00BA71B5"/>
    <w:rsid w:val="00C74207"/>
    <w:rsid w:val="00C77E95"/>
    <w:rsid w:val="00CD68ED"/>
    <w:rsid w:val="00D11AA0"/>
    <w:rsid w:val="00D2648E"/>
    <w:rsid w:val="00D51538"/>
    <w:rsid w:val="00D65C6C"/>
    <w:rsid w:val="00DA365C"/>
    <w:rsid w:val="00E85BAC"/>
    <w:rsid w:val="00EE1354"/>
    <w:rsid w:val="00EE1B01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CF05-E171-47E9-AACC-F9A1D960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1508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2016-02-15T08:37:00Z</cp:lastPrinted>
  <dcterms:created xsi:type="dcterms:W3CDTF">2021-02-10T10:10:00Z</dcterms:created>
  <dcterms:modified xsi:type="dcterms:W3CDTF">2021-02-10T10:10:00Z</dcterms:modified>
</cp:coreProperties>
</file>